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3004"/>
        <w:gridCol w:w="4950"/>
        <w:gridCol w:w="1510"/>
        <w:gridCol w:w="34"/>
      </w:tblGrid>
      <w:tr w:rsidR="003F5EA9" w14:paraId="4A1094E0" w14:textId="77777777" w:rsidTr="00927675">
        <w:trPr>
          <w:trHeight w:val="20"/>
          <w:jc w:val="center"/>
        </w:trPr>
        <w:tc>
          <w:tcPr>
            <w:tcW w:w="9734" w:type="dxa"/>
            <w:gridSpan w:val="5"/>
            <w:tcBorders>
              <w:top w:val="nil"/>
              <w:bottom w:val="nil"/>
            </w:tcBorders>
            <w:vAlign w:val="center"/>
          </w:tcPr>
          <w:p w14:paraId="1B5C96C4" w14:textId="77777777" w:rsidR="003F5EA9" w:rsidRPr="00C604C0" w:rsidRDefault="003F5EA9" w:rsidP="00927675">
            <w:pPr>
              <w:rPr>
                <w:szCs w:val="24"/>
              </w:rPr>
            </w:pPr>
            <w:bookmarkStart w:id="0" w:name="_GoBack"/>
            <w:bookmarkEnd w:id="0"/>
          </w:p>
        </w:tc>
      </w:tr>
      <w:tr w:rsidR="003F5EA9" w14:paraId="59A38A6D" w14:textId="77777777" w:rsidTr="00927675">
        <w:trPr>
          <w:trHeight w:val="20"/>
          <w:jc w:val="center"/>
        </w:trPr>
        <w:tc>
          <w:tcPr>
            <w:tcW w:w="8190" w:type="dxa"/>
            <w:gridSpan w:val="3"/>
            <w:tcBorders>
              <w:top w:val="nil"/>
              <w:bottom w:val="nil"/>
              <w:right w:val="nil"/>
            </w:tcBorders>
            <w:vAlign w:val="center"/>
          </w:tcPr>
          <w:p w14:paraId="792C2DA3" w14:textId="77777777"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14:paraId="2EDFC55F" w14:textId="24F8E7DB" w:rsidR="003F5EA9" w:rsidRPr="00C604C0" w:rsidRDefault="003F5EA9" w:rsidP="00927675">
            <w:pPr>
              <w:ind w:right="-115"/>
              <w:jc w:val="right"/>
              <w:rPr>
                <w:szCs w:val="24"/>
              </w:rPr>
            </w:pPr>
          </w:p>
        </w:tc>
      </w:tr>
      <w:tr w:rsidR="003F5EA9" w14:paraId="61DABABD" w14:textId="77777777" w:rsidTr="00927675">
        <w:trPr>
          <w:trHeight w:val="20"/>
          <w:jc w:val="center"/>
        </w:trPr>
        <w:tc>
          <w:tcPr>
            <w:tcW w:w="9734" w:type="dxa"/>
            <w:gridSpan w:val="5"/>
            <w:tcBorders>
              <w:top w:val="nil"/>
              <w:bottom w:val="nil"/>
            </w:tcBorders>
            <w:vAlign w:val="center"/>
          </w:tcPr>
          <w:p w14:paraId="72026B49" w14:textId="77777777" w:rsidR="003F5EA9" w:rsidRPr="00351F89" w:rsidRDefault="003F5EA9" w:rsidP="00927675">
            <w:pPr>
              <w:rPr>
                <w:noProof/>
                <w:color w:val="FF0000"/>
                <w:szCs w:val="24"/>
              </w:rPr>
            </w:pPr>
          </w:p>
        </w:tc>
      </w:tr>
      <w:tr w:rsidR="003F5EA9" w14:paraId="66058354" w14:textId="77777777" w:rsidTr="00927675">
        <w:trPr>
          <w:trHeight w:val="20"/>
          <w:jc w:val="center"/>
        </w:trPr>
        <w:tc>
          <w:tcPr>
            <w:tcW w:w="9734" w:type="dxa"/>
            <w:gridSpan w:val="5"/>
            <w:tcBorders>
              <w:top w:val="nil"/>
              <w:bottom w:val="nil"/>
            </w:tcBorders>
            <w:vAlign w:val="center"/>
          </w:tcPr>
          <w:p w14:paraId="1F3AE22B" w14:textId="77777777"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14:paraId="3103489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14:paraId="03C8B90D" w14:textId="77777777" w:rsidTr="00927675">
        <w:trPr>
          <w:gridAfter w:val="1"/>
          <w:wAfter w:w="34" w:type="dxa"/>
          <w:trHeight w:val="20"/>
          <w:jc w:val="center"/>
        </w:trPr>
        <w:tc>
          <w:tcPr>
            <w:tcW w:w="236" w:type="dxa"/>
            <w:tcBorders>
              <w:top w:val="nil"/>
              <w:bottom w:val="nil"/>
              <w:right w:val="nil"/>
            </w:tcBorders>
          </w:tcPr>
          <w:p w14:paraId="7C8C149D"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3"/>
            <w:tcBorders>
              <w:top w:val="nil"/>
              <w:left w:val="nil"/>
              <w:bottom w:val="nil"/>
            </w:tcBorders>
          </w:tcPr>
          <w:p w14:paraId="24FFC8D7"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14:paraId="2D402AE5" w14:textId="77777777" w:rsidTr="00927675">
        <w:trPr>
          <w:gridAfter w:val="1"/>
          <w:wAfter w:w="34" w:type="dxa"/>
          <w:trHeight w:val="20"/>
          <w:jc w:val="center"/>
        </w:trPr>
        <w:tc>
          <w:tcPr>
            <w:tcW w:w="236" w:type="dxa"/>
            <w:tcBorders>
              <w:top w:val="nil"/>
              <w:bottom w:val="nil"/>
              <w:right w:val="nil"/>
            </w:tcBorders>
          </w:tcPr>
          <w:p w14:paraId="466FCC23"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3"/>
            <w:tcBorders>
              <w:top w:val="nil"/>
              <w:left w:val="nil"/>
              <w:bottom w:val="nil"/>
            </w:tcBorders>
          </w:tcPr>
          <w:p w14:paraId="49F73F32"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14:paraId="4F42CF06" w14:textId="77777777" w:rsidTr="00927675">
        <w:trPr>
          <w:gridAfter w:val="1"/>
          <w:wAfter w:w="34" w:type="dxa"/>
          <w:trHeight w:val="20"/>
          <w:jc w:val="center"/>
        </w:trPr>
        <w:tc>
          <w:tcPr>
            <w:tcW w:w="236" w:type="dxa"/>
            <w:tcBorders>
              <w:top w:val="nil"/>
              <w:bottom w:val="nil"/>
              <w:right w:val="nil"/>
            </w:tcBorders>
          </w:tcPr>
          <w:p w14:paraId="11BA62D8" w14:textId="77777777" w:rsidR="009E2B42" w:rsidRDefault="009E2B42" w:rsidP="00927675">
            <w:pPr>
              <w:ind w:left="-86"/>
              <w:rPr>
                <w:rFonts w:eastAsia="Times New Roman" w:cs="Times New Roman"/>
                <w:iCs/>
                <w:sz w:val="16"/>
                <w:szCs w:val="16"/>
                <w:vertAlign w:val="superscript"/>
              </w:rPr>
            </w:pPr>
          </w:p>
        </w:tc>
        <w:tc>
          <w:tcPr>
            <w:tcW w:w="9464" w:type="dxa"/>
            <w:gridSpan w:val="3"/>
            <w:tcBorders>
              <w:top w:val="nil"/>
              <w:left w:val="nil"/>
              <w:bottom w:val="nil"/>
            </w:tcBorders>
          </w:tcPr>
          <w:p w14:paraId="366EAF2B" w14:textId="77777777" w:rsidR="009E2B42" w:rsidRDefault="009E2B42" w:rsidP="008E5C16">
            <w:pPr>
              <w:ind w:left="-115"/>
              <w:rPr>
                <w:rFonts w:eastAsia="Times New Roman" w:cs="Times New Roman"/>
                <w:sz w:val="16"/>
                <w:szCs w:val="16"/>
              </w:rPr>
            </w:pPr>
          </w:p>
        </w:tc>
      </w:tr>
      <w:tr w:rsidR="003F5EA9" w:rsidRPr="007862A5" w14:paraId="5C213A22" w14:textId="77777777" w:rsidTr="00927675">
        <w:tblPrEx>
          <w:tblBorders>
            <w:bottom w:val="single" w:sz="4" w:space="0" w:color="auto"/>
            <w:insideV w:val="none" w:sz="0" w:space="0" w:color="auto"/>
          </w:tblBorders>
        </w:tblPrEx>
        <w:trPr>
          <w:jc w:val="center"/>
        </w:trPr>
        <w:tc>
          <w:tcPr>
            <w:tcW w:w="3240" w:type="dxa"/>
            <w:gridSpan w:val="2"/>
            <w:tcBorders>
              <w:top w:val="single" w:sz="12" w:space="0" w:color="auto"/>
              <w:bottom w:val="single" w:sz="12" w:space="0" w:color="auto"/>
            </w:tcBorders>
            <w:vAlign w:val="center"/>
          </w:tcPr>
          <w:p w14:paraId="510D012E"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3"/>
            <w:tcBorders>
              <w:top w:val="single" w:sz="12" w:space="0" w:color="auto"/>
              <w:bottom w:val="single" w:sz="12" w:space="0" w:color="auto"/>
            </w:tcBorders>
            <w:vAlign w:val="center"/>
          </w:tcPr>
          <w:p w14:paraId="7AF3200B" w14:textId="77777777" w:rsidR="003F5EA9" w:rsidRPr="007862A5" w:rsidRDefault="003F5EA9" w:rsidP="00927675">
            <w:pPr>
              <w:spacing w:before="240" w:after="120"/>
              <w:rPr>
                <w:b/>
                <w:bCs/>
                <w:sz w:val="18"/>
                <w:szCs w:val="18"/>
              </w:rPr>
            </w:pPr>
            <w:r w:rsidRPr="007862A5">
              <w:rPr>
                <w:b/>
                <w:bCs/>
                <w:sz w:val="18"/>
                <w:szCs w:val="18"/>
              </w:rPr>
              <w:t>ABSTRACT</w:t>
            </w:r>
          </w:p>
        </w:tc>
      </w:tr>
      <w:tr w:rsidR="003F5EA9" w:rsidRPr="007862A5" w14:paraId="27A69A88" w14:textId="77777777" w:rsidTr="00927675">
        <w:tblPrEx>
          <w:tblBorders>
            <w:bottom w:val="single" w:sz="4" w:space="0" w:color="auto"/>
            <w:insideV w:val="none" w:sz="0" w:space="0" w:color="auto"/>
          </w:tblBorders>
        </w:tblPrEx>
        <w:trPr>
          <w:jc w:val="center"/>
        </w:trPr>
        <w:tc>
          <w:tcPr>
            <w:tcW w:w="3240" w:type="dxa"/>
            <w:gridSpan w:val="2"/>
            <w:tcBorders>
              <w:top w:val="single" w:sz="12" w:space="0" w:color="auto"/>
              <w:bottom w:val="nil"/>
            </w:tcBorders>
          </w:tcPr>
          <w:p w14:paraId="01C0192D" w14:textId="77777777" w:rsidR="003F5EA9" w:rsidRPr="00EE0FAA" w:rsidRDefault="003F5EA9" w:rsidP="00927675">
            <w:pPr>
              <w:spacing w:before="120"/>
              <w:rPr>
                <w:b/>
                <w:bCs/>
                <w:i/>
                <w:iCs/>
                <w:sz w:val="18"/>
                <w:szCs w:val="18"/>
              </w:rPr>
            </w:pPr>
            <w:r w:rsidRPr="00EE0FAA">
              <w:rPr>
                <w:b/>
                <w:bCs/>
                <w:i/>
                <w:iCs/>
                <w:sz w:val="18"/>
                <w:szCs w:val="18"/>
              </w:rPr>
              <w:t>Article history:</w:t>
            </w:r>
          </w:p>
          <w:p w14:paraId="41927943" w14:textId="77777777"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14:paraId="2B42D5BC" w14:textId="77777777"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14:paraId="3E0E6856" w14:textId="77777777"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14:paraId="49C57951" w14:textId="77777777"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3"/>
            <w:tcBorders>
              <w:top w:val="single" w:sz="12" w:space="0" w:color="auto"/>
              <w:bottom w:val="nil"/>
            </w:tcBorders>
            <w:vAlign w:val="center"/>
          </w:tcPr>
          <w:p w14:paraId="37CBFC9B" w14:textId="77777777"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14:paraId="19828D23" w14:textId="77777777" w:rsidTr="0092767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3D830D2D" w14:textId="77777777" w:rsidR="003F5EA9" w:rsidRPr="00EE0FAA" w:rsidRDefault="003F5EA9" w:rsidP="00927675">
            <w:pPr>
              <w:rPr>
                <w:b/>
                <w:bCs/>
                <w:i/>
                <w:iCs/>
                <w:sz w:val="18"/>
                <w:szCs w:val="18"/>
              </w:rPr>
            </w:pPr>
            <w:r w:rsidRPr="00EE0FAA">
              <w:rPr>
                <w:b/>
                <w:bCs/>
                <w:i/>
                <w:iCs/>
                <w:sz w:val="18"/>
                <w:szCs w:val="18"/>
              </w:rPr>
              <w:t>Keywords:</w:t>
            </w:r>
          </w:p>
        </w:tc>
        <w:tc>
          <w:tcPr>
            <w:tcW w:w="6494" w:type="dxa"/>
            <w:gridSpan w:val="3"/>
            <w:tcBorders>
              <w:top w:val="nil"/>
              <w:bottom w:val="nil"/>
            </w:tcBorders>
            <w:vAlign w:val="center"/>
          </w:tcPr>
          <w:p w14:paraId="679D52E8" w14:textId="77777777" w:rsidR="003F5EA9" w:rsidRPr="007862A5" w:rsidRDefault="003F5EA9" w:rsidP="00927675">
            <w:pPr>
              <w:rPr>
                <w:b/>
                <w:bCs/>
                <w:sz w:val="18"/>
                <w:szCs w:val="18"/>
              </w:rPr>
            </w:pPr>
          </w:p>
        </w:tc>
      </w:tr>
      <w:tr w:rsidR="003F5EA9" w:rsidRPr="007862A5" w14:paraId="59E1405F" w14:textId="77777777" w:rsidTr="00927675">
        <w:tblPrEx>
          <w:tblBorders>
            <w:bottom w:val="single" w:sz="4" w:space="0" w:color="auto"/>
            <w:insideV w:val="none" w:sz="0" w:space="0" w:color="auto"/>
          </w:tblBorders>
        </w:tblPrEx>
        <w:trPr>
          <w:jc w:val="center"/>
        </w:trPr>
        <w:tc>
          <w:tcPr>
            <w:tcW w:w="3240" w:type="dxa"/>
            <w:gridSpan w:val="2"/>
            <w:tcBorders>
              <w:top w:val="nil"/>
              <w:bottom w:val="single" w:sz="12" w:space="0" w:color="auto"/>
            </w:tcBorders>
            <w:vAlign w:val="center"/>
          </w:tcPr>
          <w:p w14:paraId="406D3F0C" w14:textId="77777777"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3"/>
            <w:tcBorders>
              <w:top w:val="nil"/>
              <w:bottom w:val="single" w:sz="12" w:space="0" w:color="auto"/>
            </w:tcBorders>
            <w:vAlign w:val="bottom"/>
          </w:tcPr>
          <w:p w14:paraId="3A188634" w14:textId="6469C019" w:rsidR="003F5EA9" w:rsidRPr="007862A5" w:rsidRDefault="003F5EA9" w:rsidP="003D133A">
            <w:pPr>
              <w:spacing w:after="120"/>
              <w:jc w:val="right"/>
              <w:rPr>
                <w:b/>
                <w:bCs/>
                <w:sz w:val="18"/>
                <w:szCs w:val="18"/>
              </w:rPr>
            </w:pPr>
          </w:p>
        </w:tc>
      </w:tr>
    </w:tbl>
    <w:p w14:paraId="316F614B" w14:textId="77777777" w:rsidR="00EB65AA" w:rsidRPr="00EB65AA" w:rsidRDefault="00EB65AA" w:rsidP="003F5EA9">
      <w:pPr>
        <w:spacing w:after="0" w:line="240" w:lineRule="auto"/>
        <w:rPr>
          <w:rFonts w:cstheme="minorHAnsi"/>
          <w:sz w:val="24"/>
          <w:szCs w:val="24"/>
        </w:rPr>
      </w:pPr>
    </w:p>
    <w:p w14:paraId="18F4397D"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6C4E2F93" w14:textId="77777777" w:rsidR="003F5EA9" w:rsidRDefault="003F5EA9" w:rsidP="003F5EA9">
      <w:pPr>
        <w:spacing w:after="0" w:line="240" w:lineRule="auto"/>
        <w:jc w:val="both"/>
        <w:rPr>
          <w:rFonts w:cstheme="minorHAnsi"/>
          <w:bCs/>
          <w:sz w:val="24"/>
          <w:szCs w:val="24"/>
        </w:rPr>
      </w:pPr>
    </w:p>
    <w:p w14:paraId="0E83F8F7" w14:textId="77777777"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14:paraId="77F2D832" w14:textId="77777777"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14:paraId="3A5CE668" w14:textId="77777777" w:rsidR="003D133A" w:rsidRDefault="003D133A" w:rsidP="003D133A">
      <w:pPr>
        <w:spacing w:after="0" w:line="240" w:lineRule="auto"/>
        <w:jc w:val="both"/>
        <w:rPr>
          <w:rFonts w:cs="Times New Roman"/>
          <w:sz w:val="24"/>
          <w:szCs w:val="24"/>
          <w:lang w:val="en-US"/>
        </w:rPr>
      </w:pPr>
    </w:p>
    <w:p w14:paraId="19000185"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304707B6" w14:textId="77777777" w:rsidR="003D133A" w:rsidRPr="00DE1281" w:rsidRDefault="003D133A" w:rsidP="003D133A">
      <w:pPr>
        <w:spacing w:after="0" w:line="240" w:lineRule="auto"/>
        <w:jc w:val="both"/>
        <w:rPr>
          <w:rFonts w:cs="Times New Roman"/>
          <w:sz w:val="24"/>
          <w:szCs w:val="24"/>
          <w:lang w:val="en-US"/>
        </w:rPr>
      </w:pPr>
    </w:p>
    <w:p w14:paraId="2FFF9408" w14:textId="77777777"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14:paraId="7ADEB23F" w14:textId="77777777"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4C6915B2" w14:textId="77777777" w:rsidR="00DE1281" w:rsidRPr="0049671B" w:rsidRDefault="00DE1281" w:rsidP="0049671B">
      <w:pPr>
        <w:spacing w:after="0" w:line="240" w:lineRule="auto"/>
        <w:ind w:firstLine="360"/>
        <w:jc w:val="both"/>
        <w:rPr>
          <w:rFonts w:cs="Times New Roman"/>
          <w:sz w:val="24"/>
          <w:szCs w:val="24"/>
          <w:lang w:val="en-US"/>
        </w:rPr>
      </w:pPr>
    </w:p>
    <w:p w14:paraId="76721C69"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en-MY"/>
        </w:rPr>
        <w:lastRenderedPageBreak/>
        <w:drawing>
          <wp:inline distT="0" distB="0" distL="0" distR="0" wp14:anchorId="6E4C2586" wp14:editId="7A4888F4">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14:paraId="12B8E4AE" w14:textId="77777777"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14:paraId="5A29967D"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087F2ADB" w14:textId="77777777" w:rsidR="00DE1281" w:rsidRDefault="00BF2C82" w:rsidP="00BF2C82">
      <w:pPr>
        <w:jc w:val="center"/>
        <w:rPr>
          <w:szCs w:val="20"/>
          <w:lang w:val="en"/>
        </w:rPr>
      </w:pPr>
      <w:r>
        <w:rPr>
          <w:rFonts w:eastAsia="Times New Roman"/>
          <w:noProof/>
          <w:szCs w:val="20"/>
          <w:lang w:val="en-MY" w:eastAsia="en-MY"/>
        </w:rPr>
        <w:drawing>
          <wp:inline distT="0" distB="0" distL="0" distR="0" wp14:anchorId="4BBAE9DB" wp14:editId="5CAA6214">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14:paraId="119BC730" w14:textId="77777777"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14:paraId="203535AF" w14:textId="77777777" w:rsidR="00DE1281" w:rsidRDefault="00DE1281" w:rsidP="00DE1281">
      <w:pPr>
        <w:spacing w:after="0" w:line="240" w:lineRule="auto"/>
        <w:ind w:firstLine="720"/>
        <w:jc w:val="both"/>
        <w:rPr>
          <w:rFonts w:cs="Times New Roman"/>
          <w:lang w:val="en-US"/>
        </w:rPr>
      </w:pPr>
    </w:p>
    <w:p w14:paraId="34594BB9" w14:textId="77777777"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14:paraId="60BAC72E" w14:textId="77777777" w:rsidR="00DE1281" w:rsidRPr="00DE1281" w:rsidRDefault="00DE1281" w:rsidP="00DE1281">
      <w:pPr>
        <w:spacing w:after="0" w:line="240" w:lineRule="auto"/>
        <w:ind w:firstLine="369"/>
        <w:jc w:val="both"/>
        <w:rPr>
          <w:rFonts w:cs="Times New Roman"/>
          <w:sz w:val="24"/>
          <w:szCs w:val="24"/>
          <w:lang w:val="en-US"/>
        </w:rPr>
      </w:pPr>
    </w:p>
    <w:p w14:paraId="78781AC8"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32A85A27"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7F97486E" w14:textId="77777777" w:rsidR="00BF2C82" w:rsidRDefault="00BF2C82" w:rsidP="00BF2C82">
      <w:pPr>
        <w:spacing w:after="0" w:line="240" w:lineRule="auto"/>
        <w:jc w:val="both"/>
        <w:rPr>
          <w:rFonts w:eastAsia="Times New Roman"/>
          <w:i/>
          <w:iCs/>
          <w:sz w:val="24"/>
          <w:szCs w:val="24"/>
        </w:rPr>
      </w:pPr>
    </w:p>
    <w:p w14:paraId="69C2A1FD" w14:textId="77777777"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6ACD54D4" w14:textId="77777777" w:rsidR="00BF2C82" w:rsidRDefault="00BF2C82" w:rsidP="00BF2C82">
      <w:pPr>
        <w:spacing w:after="0" w:line="240" w:lineRule="auto"/>
        <w:jc w:val="both"/>
        <w:rPr>
          <w:rFonts w:eastAsia="Times New Roman"/>
          <w:i/>
          <w:iCs/>
          <w:sz w:val="24"/>
          <w:szCs w:val="24"/>
        </w:rPr>
      </w:pPr>
    </w:p>
    <w:p w14:paraId="623C34C3"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3AC0FE79" w14:textId="77777777" w:rsidR="00BF2C82" w:rsidRPr="007826D7" w:rsidRDefault="00BF2C82" w:rsidP="00BF2C82">
      <w:pPr>
        <w:spacing w:after="0" w:line="240" w:lineRule="auto"/>
        <w:jc w:val="both"/>
        <w:rPr>
          <w:rFonts w:eastAsia="Times New Roman"/>
          <w:sz w:val="24"/>
          <w:szCs w:val="24"/>
        </w:rPr>
      </w:pPr>
    </w:p>
    <w:p w14:paraId="18EF3570" w14:textId="77777777"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2BE1B61F" w14:textId="77777777"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t>Table 1</w:t>
      </w:r>
    </w:p>
    <w:p w14:paraId="0D149217" w14:textId="77777777"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01EC8F4E" w14:textId="77777777" w:rsidTr="008202D3">
        <w:tc>
          <w:tcPr>
            <w:tcW w:w="2307" w:type="dxa"/>
            <w:tcBorders>
              <w:top w:val="single" w:sz="4" w:space="0" w:color="auto"/>
              <w:bottom w:val="single" w:sz="4" w:space="0" w:color="auto"/>
            </w:tcBorders>
            <w:shd w:val="clear" w:color="auto" w:fill="auto"/>
            <w:vAlign w:val="center"/>
          </w:tcPr>
          <w:p w14:paraId="69353320" w14:textId="77777777"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38F74A5C" w14:textId="77777777"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14:paraId="5C134015" w14:textId="77777777" w:rsidTr="008202D3">
        <w:tc>
          <w:tcPr>
            <w:tcW w:w="2307" w:type="dxa"/>
            <w:tcBorders>
              <w:top w:val="single" w:sz="4" w:space="0" w:color="auto"/>
            </w:tcBorders>
            <w:shd w:val="clear" w:color="auto" w:fill="auto"/>
            <w:vAlign w:val="center"/>
          </w:tcPr>
          <w:p w14:paraId="6B425BAE" w14:textId="77777777"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lastRenderedPageBreak/>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6BC412D4" w14:textId="77777777"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14:paraId="77A8A89F" w14:textId="77777777" w:rsidTr="008202D3">
        <w:tc>
          <w:tcPr>
            <w:tcW w:w="2307" w:type="dxa"/>
            <w:tcBorders>
              <w:bottom w:val="single" w:sz="4" w:space="0" w:color="auto"/>
            </w:tcBorders>
            <w:shd w:val="clear" w:color="auto" w:fill="auto"/>
            <w:vAlign w:val="center"/>
          </w:tcPr>
          <w:p w14:paraId="698E4336" w14:textId="77777777"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11B569CD" w14:textId="77777777" w:rsidR="00BF2C82" w:rsidRPr="005D37D0" w:rsidRDefault="00BF2C82" w:rsidP="008202D3">
            <w:pPr>
              <w:spacing w:after="0" w:line="240" w:lineRule="auto"/>
              <w:jc w:val="center"/>
              <w:rPr>
                <w:sz w:val="20"/>
                <w:szCs w:val="20"/>
              </w:rPr>
            </w:pPr>
            <w:r w:rsidRPr="005D37D0">
              <w:rPr>
                <w:sz w:val="20"/>
                <w:szCs w:val="20"/>
              </w:rPr>
              <w:t>36 m/s</w:t>
            </w:r>
          </w:p>
        </w:tc>
      </w:tr>
    </w:tbl>
    <w:p w14:paraId="1C59E316" w14:textId="77777777" w:rsidR="00BF2C82" w:rsidRDefault="00BF2C82" w:rsidP="00BF2C82">
      <w:pPr>
        <w:spacing w:after="0" w:line="240" w:lineRule="auto"/>
        <w:rPr>
          <w:rFonts w:eastAsia="Times New Roman"/>
          <w:i/>
          <w:iCs/>
          <w:sz w:val="24"/>
          <w:szCs w:val="24"/>
        </w:rPr>
      </w:pPr>
    </w:p>
    <w:p w14:paraId="3F697844" w14:textId="77777777"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14:paraId="4C37A829" w14:textId="77777777" w:rsidR="00AA5F9D" w:rsidRDefault="00AA5F9D" w:rsidP="00AA5F9D">
      <w:pPr>
        <w:spacing w:after="0" w:line="240" w:lineRule="auto"/>
        <w:ind w:firstLine="360"/>
        <w:jc w:val="both"/>
        <w:rPr>
          <w:rFonts w:cs="Times New Roman"/>
          <w:sz w:val="24"/>
          <w:szCs w:val="24"/>
          <w:lang w:val="en-US"/>
        </w:rPr>
      </w:pPr>
    </w:p>
    <w:p w14:paraId="0E3B1679" w14:textId="77777777"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14:paraId="0BD9D0D0" w14:textId="77777777" w:rsidR="00AA5F9D" w:rsidRDefault="00AA5F9D" w:rsidP="00AA5F9D">
      <w:pPr>
        <w:spacing w:after="0" w:line="240" w:lineRule="auto"/>
        <w:jc w:val="both"/>
        <w:rPr>
          <w:rFonts w:cs="Times New Roman"/>
          <w:sz w:val="24"/>
          <w:szCs w:val="24"/>
          <w:lang w:val="en-US"/>
        </w:rPr>
      </w:pPr>
    </w:p>
    <w:p w14:paraId="3E2C7F86" w14:textId="77777777"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14:paraId="4C2507DA" w14:textId="77777777" w:rsidR="00BF2C82" w:rsidRPr="00BF2C82" w:rsidRDefault="00BF2C82" w:rsidP="00BF2C82">
      <w:pPr>
        <w:spacing w:after="0" w:line="240" w:lineRule="auto"/>
        <w:jc w:val="both"/>
        <w:rPr>
          <w:rFonts w:eastAsia="Times New Roman"/>
          <w:sz w:val="24"/>
          <w:szCs w:val="24"/>
        </w:rPr>
      </w:pPr>
    </w:p>
    <w:p w14:paraId="43AB1DAC" w14:textId="77777777" w:rsidR="000F794A" w:rsidRDefault="000F794A" w:rsidP="00BF2C82">
      <w:pPr>
        <w:spacing w:after="0" w:line="240" w:lineRule="auto"/>
        <w:rPr>
          <w:b/>
          <w:bCs/>
          <w:sz w:val="24"/>
          <w:szCs w:val="24"/>
        </w:rPr>
      </w:pPr>
      <w:r w:rsidRPr="00A54904">
        <w:rPr>
          <w:b/>
          <w:bCs/>
          <w:sz w:val="24"/>
          <w:szCs w:val="24"/>
        </w:rPr>
        <w:t>4. Conclusions</w:t>
      </w:r>
    </w:p>
    <w:p w14:paraId="169E2368" w14:textId="77777777" w:rsidR="00BF2C82" w:rsidRPr="00A54904" w:rsidRDefault="00BF2C82" w:rsidP="00BF2C82">
      <w:pPr>
        <w:spacing w:after="0" w:line="240" w:lineRule="auto"/>
        <w:rPr>
          <w:b/>
          <w:bCs/>
          <w:sz w:val="24"/>
          <w:szCs w:val="24"/>
        </w:rPr>
      </w:pPr>
    </w:p>
    <w:p w14:paraId="4BC1110A" w14:textId="77777777"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14:paraId="48B798AE" w14:textId="77777777" w:rsidR="000F794A" w:rsidRDefault="000F794A" w:rsidP="000F794A">
      <w:pPr>
        <w:spacing w:after="0" w:line="240" w:lineRule="auto"/>
        <w:jc w:val="both"/>
        <w:rPr>
          <w:sz w:val="24"/>
          <w:szCs w:val="24"/>
        </w:rPr>
      </w:pPr>
    </w:p>
    <w:p w14:paraId="46692234"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4A51FA4F"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45FC853C" w14:textId="77777777" w:rsidR="003D3012" w:rsidRDefault="003D3012" w:rsidP="000F794A">
      <w:pPr>
        <w:spacing w:after="0" w:line="240" w:lineRule="auto"/>
        <w:jc w:val="both"/>
        <w:rPr>
          <w:sz w:val="24"/>
          <w:szCs w:val="24"/>
        </w:rPr>
      </w:pPr>
    </w:p>
    <w:p w14:paraId="03903527" w14:textId="77777777"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14:paraId="4E53D14A"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0090DF99"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14:paraId="50DEB0A5"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14:paraId="0A2B8F66" w14:textId="77777777"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14:paraId="4428F8BF"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14:paraId="72DB962B" w14:textId="77777777"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14:paraId="6D1CE734" w14:textId="77777777"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14:paraId="08DEB233" w14:textId="73650B08" w:rsid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p w14:paraId="0665235A" w14:textId="7109E778" w:rsidR="00034325" w:rsidRPr="00034325" w:rsidRDefault="00034325" w:rsidP="000F794A">
      <w:pPr>
        <w:autoSpaceDE w:val="0"/>
        <w:autoSpaceDN w:val="0"/>
        <w:adjustRightInd w:val="0"/>
        <w:spacing w:after="0" w:line="240" w:lineRule="auto"/>
        <w:ind w:left="588" w:hangingChars="245" w:hanging="588"/>
        <w:jc w:val="both"/>
        <w:rPr>
          <w:noProof/>
          <w:color w:val="000000" w:themeColor="text1"/>
          <w:sz w:val="24"/>
          <w:szCs w:val="24"/>
        </w:rPr>
      </w:pPr>
    </w:p>
    <w:p w14:paraId="419EBEA0" w14:textId="4F15AFC3" w:rsidR="00034325" w:rsidRPr="005F7C4B" w:rsidRDefault="00034325" w:rsidP="00034325">
      <w:pPr>
        <w:spacing w:after="0" w:line="240" w:lineRule="auto"/>
        <w:jc w:val="both"/>
        <w:rPr>
          <w:rFonts w:cstheme="minorHAnsi"/>
          <w:b/>
          <w:bCs/>
          <w:sz w:val="24"/>
          <w:szCs w:val="24"/>
        </w:rPr>
      </w:pPr>
      <w:r>
        <w:rPr>
          <w:rFonts w:cstheme="minorHAnsi"/>
          <w:b/>
          <w:bCs/>
          <w:sz w:val="24"/>
          <w:szCs w:val="24"/>
        </w:rPr>
        <w:t>General Guidelines</w:t>
      </w:r>
    </w:p>
    <w:p w14:paraId="0203DBB1" w14:textId="2EC0086C" w:rsidR="00034325" w:rsidRDefault="00034325" w:rsidP="00F01F60">
      <w:pPr>
        <w:spacing w:after="0" w:line="240" w:lineRule="auto"/>
        <w:ind w:firstLine="720"/>
        <w:jc w:val="both"/>
        <w:rPr>
          <w:rFonts w:cstheme="minorHAnsi"/>
          <w:bCs/>
          <w:sz w:val="24"/>
          <w:szCs w:val="24"/>
        </w:rPr>
      </w:pPr>
      <w:r w:rsidRPr="00034325">
        <w:rPr>
          <w:rFonts w:cstheme="minorHAnsi"/>
          <w:bCs/>
          <w:sz w:val="24"/>
          <w:szCs w:val="24"/>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80FE011" w14:textId="77777777" w:rsidR="00F01F60" w:rsidRDefault="00F01F60" w:rsidP="00F01F60">
      <w:pPr>
        <w:spacing w:after="0" w:line="240" w:lineRule="auto"/>
        <w:ind w:firstLine="720"/>
        <w:jc w:val="both"/>
        <w:rPr>
          <w:rFonts w:cstheme="minorHAnsi"/>
          <w:bCs/>
          <w:sz w:val="24"/>
          <w:szCs w:val="24"/>
        </w:rPr>
      </w:pPr>
    </w:p>
    <w:p w14:paraId="5467A3C7" w14:textId="77777777" w:rsidR="00F01F60" w:rsidRDefault="00034325" w:rsidP="00F01F60">
      <w:pPr>
        <w:spacing w:after="0" w:line="240" w:lineRule="auto"/>
        <w:jc w:val="both"/>
        <w:rPr>
          <w:rFonts w:cstheme="minorHAnsi"/>
          <w:bCs/>
          <w:sz w:val="24"/>
          <w:szCs w:val="24"/>
        </w:rPr>
      </w:pPr>
      <w:r w:rsidRPr="00034325">
        <w:rPr>
          <w:rFonts w:cstheme="minorHAnsi"/>
          <w:b/>
          <w:sz w:val="24"/>
          <w:szCs w:val="24"/>
        </w:rPr>
        <w:t>File Naming and Delivery</w:t>
      </w:r>
    </w:p>
    <w:p w14:paraId="0CB76B5B" w14:textId="77777777" w:rsidR="00F01F60" w:rsidRDefault="00034325" w:rsidP="00F01F60">
      <w:pPr>
        <w:spacing w:after="0" w:line="240" w:lineRule="auto"/>
        <w:ind w:firstLine="720"/>
        <w:jc w:val="both"/>
        <w:rPr>
          <w:rFonts w:cstheme="minorHAnsi"/>
          <w:bCs/>
          <w:sz w:val="24"/>
          <w:szCs w:val="24"/>
        </w:rPr>
      </w:pPr>
      <w:r w:rsidRPr="00034325">
        <w:rPr>
          <w:rFonts w:cstheme="minorHAnsi"/>
          <w:bCs/>
          <w:sz w:val="24"/>
          <w:szCs w:val="24"/>
        </w:rPr>
        <w:t>Please save the title your files in this order “</w:t>
      </w:r>
      <w:bookmarkStart w:id="1" w:name="_Hlk37079695"/>
      <w:r w:rsidRPr="00034325">
        <w:rPr>
          <w:rFonts w:cstheme="minorHAnsi"/>
          <w:b/>
          <w:sz w:val="24"/>
          <w:szCs w:val="24"/>
        </w:rPr>
        <w:t>ARUS2021_paper ID_corresponding author’s last name_NIJ</w:t>
      </w:r>
      <w:bookmarkEnd w:id="1"/>
      <w:r w:rsidRPr="00034325">
        <w:rPr>
          <w:rFonts w:cstheme="minorHAnsi"/>
          <w:bCs/>
          <w:sz w:val="24"/>
          <w:szCs w:val="24"/>
        </w:rPr>
        <w:t>” for indexed journal. For example “ARUS2021_123_Smith_NIJ”.</w:t>
      </w:r>
    </w:p>
    <w:p w14:paraId="16C38297" w14:textId="77777777" w:rsidR="00F01F60" w:rsidRDefault="00F01F60" w:rsidP="00F01F60">
      <w:pPr>
        <w:spacing w:after="0" w:line="240" w:lineRule="auto"/>
        <w:jc w:val="both"/>
        <w:rPr>
          <w:rFonts w:cstheme="minorHAnsi"/>
          <w:bCs/>
          <w:sz w:val="24"/>
          <w:szCs w:val="24"/>
        </w:rPr>
      </w:pPr>
    </w:p>
    <w:p w14:paraId="2F5607BC" w14:textId="739E30D0" w:rsidR="00034325" w:rsidRPr="00F01F60" w:rsidRDefault="00034325" w:rsidP="00F01F60">
      <w:pPr>
        <w:spacing w:after="0" w:line="240" w:lineRule="auto"/>
        <w:jc w:val="both"/>
        <w:rPr>
          <w:rFonts w:cstheme="minorHAnsi"/>
          <w:bCs/>
          <w:sz w:val="24"/>
          <w:szCs w:val="24"/>
        </w:rPr>
      </w:pPr>
      <w:r w:rsidRPr="00034325">
        <w:rPr>
          <w:rFonts w:cstheme="minorHAnsi"/>
          <w:b/>
          <w:sz w:val="24"/>
          <w:szCs w:val="24"/>
        </w:rPr>
        <w:t>Online License Transfer</w:t>
      </w:r>
    </w:p>
    <w:p w14:paraId="0314B88E" w14:textId="46598C30" w:rsidR="00034325" w:rsidRDefault="00034325" w:rsidP="00034325">
      <w:pPr>
        <w:spacing w:after="0" w:line="240" w:lineRule="auto"/>
        <w:jc w:val="both"/>
        <w:rPr>
          <w:rFonts w:cstheme="minorHAnsi"/>
          <w:bCs/>
          <w:sz w:val="24"/>
          <w:szCs w:val="24"/>
        </w:rPr>
      </w:pPr>
      <w:r w:rsidRPr="00034325">
        <w:rPr>
          <w:rFonts w:cstheme="minorHAnsi"/>
          <w:bCs/>
          <w:sz w:val="24"/>
          <w:szCs w:val="24"/>
        </w:rPr>
        <w:t xml:space="preserve">By publishing in journals under ARUS2021, the authors </w:t>
      </w:r>
      <w:r w:rsidR="00F01F60" w:rsidRPr="00034325">
        <w:rPr>
          <w:rFonts w:cstheme="minorHAnsi"/>
          <w:bCs/>
          <w:sz w:val="24"/>
          <w:szCs w:val="24"/>
        </w:rPr>
        <w:t>implicitly</w:t>
      </w:r>
      <w:r w:rsidRPr="00034325">
        <w:rPr>
          <w:rFonts w:cstheme="minorHAnsi"/>
          <w:bCs/>
          <w:sz w:val="24"/>
          <w:szCs w:val="24"/>
        </w:rPr>
        <w:t xml:space="preserve"> transfers copyrights of their article to ARUS2021. All authors are required to complete the exclusive license transfer agreement before the article can be published, which they can do online. This transfer agreement enables ARUS2021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401D424" w14:textId="77777777" w:rsidR="00034325" w:rsidRPr="000F794A" w:rsidRDefault="00034325" w:rsidP="000F794A">
      <w:pPr>
        <w:autoSpaceDE w:val="0"/>
        <w:autoSpaceDN w:val="0"/>
        <w:adjustRightInd w:val="0"/>
        <w:spacing w:after="0" w:line="240" w:lineRule="auto"/>
        <w:ind w:left="490" w:hangingChars="245" w:hanging="490"/>
        <w:jc w:val="both"/>
        <w:rPr>
          <w:noProof/>
          <w:color w:val="000000" w:themeColor="text1"/>
          <w:sz w:val="20"/>
          <w:szCs w:val="20"/>
        </w:rPr>
      </w:pPr>
    </w:p>
    <w:sectPr w:rsidR="00034325" w:rsidRPr="000F794A" w:rsidSect="000F794A">
      <w:headerReference w:type="default" r:id="rId10"/>
      <w:footerReference w:type="default" r:id="rId11"/>
      <w:headerReference w:type="first" r:id="rId12"/>
      <w:footerReference w:type="first" r:id="rId13"/>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C8ED" w14:textId="77777777" w:rsidR="00B530C6" w:rsidRDefault="00B530C6" w:rsidP="00307DBE">
      <w:pPr>
        <w:spacing w:after="0" w:line="240" w:lineRule="auto"/>
      </w:pPr>
      <w:r>
        <w:separator/>
      </w:r>
    </w:p>
  </w:endnote>
  <w:endnote w:type="continuationSeparator" w:id="0">
    <w:p w14:paraId="3A6DE15C" w14:textId="77777777" w:rsidR="00B530C6" w:rsidRDefault="00B530C6"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14:paraId="1240F08B" w14:textId="77777777" w:rsidR="00DE1281" w:rsidRDefault="00DE1281">
        <w:pPr>
          <w:pStyle w:val="Footer"/>
          <w:jc w:val="right"/>
        </w:pPr>
        <w:r>
          <w:fldChar w:fldCharType="begin"/>
        </w:r>
        <w:r>
          <w:instrText xml:space="preserve"> PAGE   \* MERGEFORMAT </w:instrText>
        </w:r>
        <w:r>
          <w:fldChar w:fldCharType="separate"/>
        </w:r>
        <w:r w:rsidR="00FE2BB8">
          <w:rPr>
            <w:noProof/>
          </w:rPr>
          <w:t>18</w:t>
        </w:r>
        <w:r>
          <w:rPr>
            <w:noProof/>
          </w:rPr>
          <w:fldChar w:fldCharType="end"/>
        </w:r>
      </w:p>
    </w:sdtContent>
  </w:sdt>
  <w:p w14:paraId="6058ACCE" w14:textId="77777777"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14:paraId="57551156" w14:textId="77777777" w:rsidR="00DE1281" w:rsidRDefault="00DE1281">
        <w:pPr>
          <w:pStyle w:val="Footer"/>
          <w:jc w:val="right"/>
        </w:pPr>
        <w:r>
          <w:fldChar w:fldCharType="begin"/>
        </w:r>
        <w:r>
          <w:instrText xml:space="preserve"> PAGE   \* MERGEFORMAT </w:instrText>
        </w:r>
        <w:r>
          <w:fldChar w:fldCharType="separate"/>
        </w:r>
        <w:r w:rsidR="00FE2BB8">
          <w:rPr>
            <w:noProof/>
          </w:rPr>
          <w:t>17</w:t>
        </w:r>
        <w:r>
          <w:rPr>
            <w:noProof/>
          </w:rPr>
          <w:fldChar w:fldCharType="end"/>
        </w:r>
      </w:p>
    </w:sdtContent>
  </w:sdt>
  <w:p w14:paraId="7586E296" w14:textId="77777777"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11BD" w14:textId="77777777" w:rsidR="00B530C6" w:rsidRDefault="00B530C6" w:rsidP="00307DBE">
      <w:pPr>
        <w:spacing w:after="0" w:line="240" w:lineRule="auto"/>
      </w:pPr>
      <w:r>
        <w:separator/>
      </w:r>
    </w:p>
  </w:footnote>
  <w:footnote w:type="continuationSeparator" w:id="0">
    <w:p w14:paraId="585DF7F1" w14:textId="77777777" w:rsidR="00B530C6" w:rsidRDefault="00B530C6" w:rsidP="00307DBE">
      <w:pPr>
        <w:spacing w:after="0" w:line="240" w:lineRule="auto"/>
      </w:pPr>
      <w:r>
        <w:continuationSeparator/>
      </w:r>
    </w:p>
  </w:footnote>
  <w:footnote w:id="1">
    <w:p w14:paraId="6D169434" w14:textId="77777777"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16409397" w14:textId="77777777"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41F" w14:textId="59EDC010"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32AB"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6A73AD40" w14:textId="797E9AF6"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BE"/>
    <w:rsid w:val="00001DB9"/>
    <w:rsid w:val="00005609"/>
    <w:rsid w:val="000066B1"/>
    <w:rsid w:val="00010047"/>
    <w:rsid w:val="000100F1"/>
    <w:rsid w:val="000142CB"/>
    <w:rsid w:val="000273C6"/>
    <w:rsid w:val="000274DD"/>
    <w:rsid w:val="00034325"/>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32B2"/>
    <w:rsid w:val="003D72D8"/>
    <w:rsid w:val="003E4231"/>
    <w:rsid w:val="003E7D8E"/>
    <w:rsid w:val="003F5EA9"/>
    <w:rsid w:val="003F7B77"/>
    <w:rsid w:val="00400A8F"/>
    <w:rsid w:val="0041415B"/>
    <w:rsid w:val="00420736"/>
    <w:rsid w:val="004219E9"/>
    <w:rsid w:val="00427556"/>
    <w:rsid w:val="00427849"/>
    <w:rsid w:val="00432916"/>
    <w:rsid w:val="004651C5"/>
    <w:rsid w:val="00465F71"/>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433C9"/>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2A5E"/>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07DDC"/>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0C6"/>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05D3F"/>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43F23"/>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01F60"/>
    <w:rsid w:val="00F1297B"/>
    <w:rsid w:val="00F13D76"/>
    <w:rsid w:val="00F251D0"/>
    <w:rsid w:val="00F3069F"/>
    <w:rsid w:val="00F3462E"/>
    <w:rsid w:val="00F36E52"/>
    <w:rsid w:val="00F41A30"/>
    <w:rsid w:val="00F42CDD"/>
    <w:rsid w:val="00F47BFC"/>
    <w:rsid w:val="00F53577"/>
    <w:rsid w:val="00F57732"/>
    <w:rsid w:val="00F6437E"/>
    <w:rsid w:val="00F662B9"/>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2BB8"/>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599EB"/>
  <w15:docId w15:val="{7E6C8E07-6E9F-4E22-96FA-A986C7B4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BC41-88E5-4E78-815E-8A9BD37D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ARUS2021</dc:creator>
  <cp:lastModifiedBy>cut.attack@gmail.com</cp:lastModifiedBy>
  <cp:revision>2</cp:revision>
  <cp:lastPrinted>2016-12-23T01:28:00Z</cp:lastPrinted>
  <dcterms:created xsi:type="dcterms:W3CDTF">2020-04-06T07:37:00Z</dcterms:created>
  <dcterms:modified xsi:type="dcterms:W3CDTF">2020-04-06T07:37:00Z</dcterms:modified>
</cp:coreProperties>
</file>